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59339" w14:textId="77777777" w:rsidR="00AD6A2F" w:rsidRDefault="00C81C1E">
      <w:pPr>
        <w:shd w:val="clear" w:color="auto" w:fill="1C1B12"/>
        <w:spacing w:before="160"/>
      </w:pPr>
      <w:r>
        <w:rPr>
          <w:rFonts w:ascii="Poppins" w:eastAsia="Poppins" w:hAnsi="Poppins" w:cs="Poppins"/>
          <w:b/>
          <w:bCs/>
          <w:color w:val="C8960C"/>
          <w:spacing w:val="200"/>
          <w:sz w:val="14"/>
          <w:szCs w:val="14"/>
        </w:rPr>
        <w:t>MONTHLY INVESTMENT UPDATE</w:t>
      </w:r>
    </w:p>
    <w:p w14:paraId="33D5933A" w14:textId="77777777" w:rsidR="00AD6A2F" w:rsidRDefault="00C81C1E" w:rsidP="00417837">
      <w:pPr>
        <w:shd w:val="clear" w:color="auto" w:fill="1C1B12"/>
        <w:spacing w:before="40"/>
      </w:pPr>
      <w:r>
        <w:rPr>
          <w:rFonts w:ascii="Lora" w:eastAsia="Lora" w:hAnsi="Lora" w:cs="Lora"/>
          <w:b/>
          <w:bCs/>
          <w:color w:val="FFFFFF"/>
          <w:sz w:val="60"/>
          <w:szCs w:val="60"/>
        </w:rPr>
        <w:t>March 2026</w:t>
      </w:r>
    </w:p>
    <w:p w14:paraId="33D5933B" w14:textId="48D1665A" w:rsidR="00AD6A2F" w:rsidRDefault="005A6E83" w:rsidP="00417837">
      <w:pPr>
        <w:shd w:val="clear" w:color="auto" w:fill="1C1B12"/>
        <w:spacing w:before="60"/>
      </w:pPr>
      <w:r>
        <w:rPr>
          <w:rFonts w:ascii="Lora" w:eastAsia="Lora" w:hAnsi="Lora" w:cs="Lora"/>
          <w:i/>
          <w:iCs/>
          <w:color w:val="D4A320"/>
          <w:sz w:val="22"/>
          <w:szCs w:val="22"/>
        </w:rPr>
        <w:t>An Uncomfortable</w:t>
      </w:r>
      <w:r w:rsidR="00685ECF">
        <w:rPr>
          <w:rFonts w:ascii="Lora" w:eastAsia="Lora" w:hAnsi="Lora" w:cs="Lora"/>
          <w:i/>
          <w:iCs/>
          <w:color w:val="D4A320"/>
          <w:sz w:val="22"/>
          <w:szCs w:val="22"/>
        </w:rPr>
        <w:t xml:space="preserve"> Yet Vaguely Familiar Feeling</w:t>
      </w:r>
    </w:p>
    <w:p w14:paraId="0911AFC8" w14:textId="77777777" w:rsidR="00154C14" w:rsidRDefault="00154C14">
      <w:pPr>
        <w:spacing w:before="200" w:after="60"/>
        <w:rPr>
          <w:rFonts w:ascii="Poppins" w:eastAsia="Poppins" w:hAnsi="Poppins" w:cs="Poppins"/>
          <w:b/>
          <w:bCs/>
          <w:color w:val="C8960C"/>
          <w:spacing w:val="180"/>
          <w:sz w:val="14"/>
          <w:szCs w:val="14"/>
        </w:rPr>
      </w:pPr>
    </w:p>
    <w:p w14:paraId="33D5933F" w14:textId="6F401926" w:rsidR="00AD6A2F" w:rsidRDefault="00C81C1E">
      <w:pPr>
        <w:spacing w:before="200" w:after="60"/>
      </w:pPr>
      <w:r>
        <w:rPr>
          <w:rFonts w:ascii="Poppins" w:eastAsia="Poppins" w:hAnsi="Poppins" w:cs="Poppins"/>
          <w:b/>
          <w:bCs/>
          <w:color w:val="C8960C"/>
          <w:spacing w:val="180"/>
          <w:sz w:val="14"/>
          <w:szCs w:val="14"/>
        </w:rPr>
        <w:t>FROM THE PORTFOLIO MANAGER</w:t>
      </w:r>
    </w:p>
    <w:p w14:paraId="0FF2ED36" w14:textId="77777777" w:rsidR="00154C14" w:rsidRDefault="00154C14">
      <w:pPr>
        <w:pBdr>
          <w:bottom w:val="single" w:sz="3" w:space="4" w:color="E8E4DC"/>
        </w:pBdr>
        <w:spacing w:after="140"/>
        <w:rPr>
          <w:rFonts w:ascii="Lora" w:eastAsia="Lora" w:hAnsi="Lora" w:cs="Lora"/>
          <w:b/>
          <w:bCs/>
          <w:color w:val="1C1B12"/>
          <w:sz w:val="34"/>
          <w:szCs w:val="34"/>
        </w:rPr>
      </w:pPr>
    </w:p>
    <w:p w14:paraId="33D59340" w14:textId="06915191" w:rsidR="00AD6A2F" w:rsidRDefault="00C81C1E">
      <w:pPr>
        <w:pBdr>
          <w:bottom w:val="single" w:sz="3" w:space="4" w:color="E8E4DC"/>
        </w:pBdr>
        <w:spacing w:after="140"/>
      </w:pPr>
      <w:r>
        <w:rPr>
          <w:rFonts w:ascii="Lora" w:eastAsia="Lora" w:hAnsi="Lora" w:cs="Lora"/>
          <w:b/>
          <w:bCs/>
          <w:color w:val="1C1B12"/>
          <w:sz w:val="34"/>
          <w:szCs w:val="34"/>
        </w:rPr>
        <w:t>We Have Been Here Before.</w:t>
      </w:r>
    </w:p>
    <w:p w14:paraId="33D59341" w14:textId="77848866" w:rsidR="00AD6A2F" w:rsidRPr="008B0ED9" w:rsidRDefault="00C81C1E">
      <w:pPr>
        <w:spacing w:after="120"/>
        <w:jc w:val="both"/>
        <w:rPr>
          <w:sz w:val="24"/>
          <w:szCs w:val="24"/>
        </w:rPr>
      </w:pPr>
      <w:r>
        <w:rPr>
          <w:color w:val="242318"/>
          <w:sz w:val="24"/>
          <w:szCs w:val="24"/>
        </w:rPr>
        <w:t>The opening three months of 2026 bear an uncomfortable resemblance to the same period a year ago</w:t>
      </w:r>
      <w:r w:rsidR="00685ECF">
        <w:rPr>
          <w:color w:val="242318"/>
          <w:sz w:val="24"/>
          <w:szCs w:val="24"/>
        </w:rPr>
        <w:t xml:space="preserve"> and </w:t>
      </w:r>
      <w:r w:rsidR="007718C2">
        <w:rPr>
          <w:color w:val="242318"/>
          <w:sz w:val="24"/>
          <w:szCs w:val="24"/>
        </w:rPr>
        <w:t xml:space="preserve">similar scenarios </w:t>
      </w:r>
      <w:r w:rsidR="00B06669">
        <w:rPr>
          <w:color w:val="242318"/>
          <w:sz w:val="24"/>
          <w:szCs w:val="24"/>
        </w:rPr>
        <w:t>years ago</w:t>
      </w:r>
      <w:r>
        <w:rPr>
          <w:color w:val="242318"/>
          <w:sz w:val="24"/>
          <w:szCs w:val="24"/>
        </w:rPr>
        <w:t xml:space="preserve">. Asset prices are under pressure. Sentiment is moving toward extremes. The </w:t>
      </w:r>
      <w:r w:rsidR="001439E2">
        <w:rPr>
          <w:color w:val="242318"/>
          <w:sz w:val="24"/>
          <w:szCs w:val="24"/>
        </w:rPr>
        <w:t xml:space="preserve">‘flight or </w:t>
      </w:r>
      <w:proofErr w:type="gramStart"/>
      <w:r w:rsidR="00304DD4">
        <w:rPr>
          <w:color w:val="242318"/>
          <w:sz w:val="24"/>
          <w:szCs w:val="24"/>
        </w:rPr>
        <w:t>fight’</w:t>
      </w:r>
      <w:proofErr w:type="gramEnd"/>
      <w:r w:rsidR="00304DD4">
        <w:rPr>
          <w:color w:val="242318"/>
          <w:sz w:val="24"/>
          <w:szCs w:val="24"/>
        </w:rPr>
        <w:t xml:space="preserve"> </w:t>
      </w:r>
      <w:r>
        <w:rPr>
          <w:color w:val="242318"/>
          <w:sz w:val="24"/>
          <w:szCs w:val="24"/>
        </w:rPr>
        <w:t>instinct to reduce risk is growing louder within t</w:t>
      </w:r>
      <w:r w:rsidR="00304DD4">
        <w:rPr>
          <w:color w:val="242318"/>
          <w:sz w:val="24"/>
          <w:szCs w:val="24"/>
        </w:rPr>
        <w:t>he</w:t>
      </w:r>
      <w:r>
        <w:rPr>
          <w:color w:val="242318"/>
          <w:sz w:val="24"/>
          <w:szCs w:val="24"/>
        </w:rPr>
        <w:t xml:space="preserve"> space between</w:t>
      </w:r>
      <w:r w:rsidR="001439E2">
        <w:rPr>
          <w:color w:val="242318"/>
          <w:sz w:val="24"/>
          <w:szCs w:val="24"/>
        </w:rPr>
        <w:t xml:space="preserve"> </w:t>
      </w:r>
      <w:r>
        <w:rPr>
          <w:color w:val="242318"/>
          <w:sz w:val="24"/>
          <w:szCs w:val="24"/>
        </w:rPr>
        <w:t>our ears. Twelve months ago, the “Tariff Tantrum” drove the S&amp;P 500 sharply lower, pushed bearish sentiment to levels last seen in early 2020, and generated a cascade of downside earnings revisions. By year-end, markets recovered fully and set new highs. What changed was not the tariff regime</w:t>
      </w:r>
      <w:r w:rsidR="00B06669">
        <w:rPr>
          <w:color w:val="242318"/>
          <w:sz w:val="24"/>
          <w:szCs w:val="24"/>
        </w:rPr>
        <w:t xml:space="preserve">. It </w:t>
      </w:r>
      <w:r>
        <w:rPr>
          <w:color w:val="242318"/>
          <w:sz w:val="24"/>
          <w:szCs w:val="24"/>
        </w:rPr>
        <w:t>remains elevated and unpredictable. The big change was the market’s ability to price a new equilibrium, and the valuation compression that accompanied the tantrum created the launching pad for that recovery.</w:t>
      </w:r>
    </w:p>
    <w:p w14:paraId="33D59342" w14:textId="719A75A2" w:rsidR="00AD6A2F" w:rsidRPr="008B0ED9" w:rsidRDefault="00C81C1E">
      <w:pPr>
        <w:spacing w:after="120"/>
        <w:jc w:val="both"/>
        <w:rPr>
          <w:sz w:val="24"/>
          <w:szCs w:val="24"/>
        </w:rPr>
      </w:pPr>
      <w:r>
        <w:rPr>
          <w:color w:val="242318"/>
          <w:sz w:val="24"/>
          <w:szCs w:val="24"/>
        </w:rPr>
        <w:t>Today’s composition of headwinds is different. The escalating conflict involving Iran has introduced a genuine geopolitical risk premium: energy price volatility, widened credit spreads, and multiple compression in rate-sensitive sectors are all real and measurable. We acknowledge them plainly. However, the architecture of the moment: a geopolitical shock, compressed valuations, elevated fear, a narrative that extrapolates the worst-case scenario, sounds quite familiar and the historical record on what follows the doomscroll is not very ambiguous.</w:t>
      </w:r>
    </w:p>
    <w:p w14:paraId="33D59344" w14:textId="2257B42F" w:rsidR="00AD6A2F" w:rsidRPr="0042408D" w:rsidRDefault="00C81C1E" w:rsidP="002C32A9">
      <w:pPr>
        <w:pBdr>
          <w:left w:val="thick" w:sz="18" w:space="10" w:color="C8960C"/>
        </w:pBdr>
        <w:spacing w:before="160" w:after="160"/>
        <w:ind w:left="480" w:right="240"/>
        <w:rPr>
          <w:sz w:val="28"/>
          <w:szCs w:val="28"/>
        </w:rPr>
      </w:pPr>
      <w:r>
        <w:rPr>
          <w:rFonts w:ascii="Lora" w:eastAsia="Lora" w:hAnsi="Lora" w:cs="Lora"/>
          <w:i/>
          <w:iCs/>
          <w:color w:val="1C1B12"/>
          <w:sz w:val="28"/>
          <w:szCs w:val="28"/>
        </w:rPr>
        <w:t xml:space="preserve">“The question is not whether the geopolitical risk is real — it is — but whether it is permanent. History is </w:t>
      </w:r>
      <w:proofErr w:type="gramStart"/>
      <w:r>
        <w:rPr>
          <w:rFonts w:ascii="Lora" w:eastAsia="Lora" w:hAnsi="Lora" w:cs="Lora"/>
          <w:i/>
          <w:iCs/>
          <w:color w:val="1C1B12"/>
          <w:sz w:val="28"/>
          <w:szCs w:val="28"/>
        </w:rPr>
        <w:t>fairly consistent</w:t>
      </w:r>
      <w:proofErr w:type="gramEnd"/>
      <w:r>
        <w:rPr>
          <w:rFonts w:ascii="Lora" w:eastAsia="Lora" w:hAnsi="Lora" w:cs="Lora"/>
          <w:i/>
          <w:iCs/>
          <w:color w:val="1C1B12"/>
          <w:sz w:val="28"/>
          <w:szCs w:val="28"/>
        </w:rPr>
        <w:t xml:space="preserve"> on this point: it is not.”</w:t>
      </w:r>
    </w:p>
    <w:p w14:paraId="33D59345" w14:textId="77777777" w:rsidR="00AD6A2F" w:rsidRDefault="00AD6A2F">
      <w:pPr>
        <w:pBdr>
          <w:bottom w:val="single" w:sz="6" w:space="1" w:color="C8960C"/>
        </w:pBdr>
      </w:pPr>
    </w:p>
    <w:p w14:paraId="33D59347" w14:textId="77777777" w:rsidR="00AD6A2F" w:rsidRDefault="00C81C1E">
      <w:pPr>
        <w:spacing w:before="200" w:after="60"/>
      </w:pPr>
      <w:r>
        <w:rPr>
          <w:rFonts w:ascii="Poppins" w:eastAsia="Poppins" w:hAnsi="Poppins" w:cs="Poppins"/>
          <w:b/>
          <w:bCs/>
          <w:color w:val="C8960C"/>
          <w:spacing w:val="180"/>
          <w:sz w:val="14"/>
          <w:szCs w:val="14"/>
        </w:rPr>
        <w:t>THE INVESTMENT CASE</w:t>
      </w:r>
    </w:p>
    <w:p w14:paraId="03C4E2E5" w14:textId="77777777" w:rsidR="00033983" w:rsidRDefault="00033983">
      <w:pPr>
        <w:pBdr>
          <w:bottom w:val="single" w:sz="3" w:space="4" w:color="E8E4DC"/>
        </w:pBdr>
        <w:spacing w:after="140"/>
        <w:rPr>
          <w:rFonts w:ascii="Lora" w:eastAsia="Lora" w:hAnsi="Lora" w:cs="Lora"/>
          <w:b/>
          <w:bCs/>
          <w:color w:val="1C1B12"/>
          <w:sz w:val="34"/>
          <w:szCs w:val="34"/>
        </w:rPr>
      </w:pPr>
    </w:p>
    <w:p w14:paraId="33D59348" w14:textId="645CFD82" w:rsidR="00AD6A2F" w:rsidRDefault="00C81C1E">
      <w:pPr>
        <w:pBdr>
          <w:bottom w:val="single" w:sz="3" w:space="4" w:color="E8E4DC"/>
        </w:pBdr>
        <w:spacing w:after="140"/>
      </w:pPr>
      <w:r>
        <w:rPr>
          <w:rFonts w:ascii="Lora" w:eastAsia="Lora" w:hAnsi="Lora" w:cs="Lora"/>
          <w:b/>
          <w:bCs/>
          <w:color w:val="1C1B12"/>
          <w:sz w:val="34"/>
          <w:szCs w:val="34"/>
        </w:rPr>
        <w:t>Optimism Is Not Magic Thinking. It Is a Data-Driven Recipe for Future Returns</w:t>
      </w:r>
    </w:p>
    <w:p w14:paraId="33D59349" w14:textId="6AF03313" w:rsidR="00AD6A2F" w:rsidRPr="008B0ED9" w:rsidRDefault="00C81C1E">
      <w:pPr>
        <w:spacing w:after="120"/>
        <w:jc w:val="both"/>
        <w:rPr>
          <w:sz w:val="24"/>
          <w:szCs w:val="24"/>
        </w:rPr>
      </w:pPr>
      <w:r>
        <w:rPr>
          <w:color w:val="242318"/>
          <w:sz w:val="24"/>
          <w:szCs w:val="24"/>
        </w:rPr>
        <w:t xml:space="preserve">A brief review of </w:t>
      </w:r>
      <w:r w:rsidR="00B46422">
        <w:rPr>
          <w:color w:val="242318"/>
          <w:sz w:val="24"/>
          <w:szCs w:val="24"/>
        </w:rPr>
        <w:t xml:space="preserve">four </w:t>
      </w:r>
      <w:r>
        <w:rPr>
          <w:color w:val="242318"/>
          <w:sz w:val="24"/>
          <w:szCs w:val="24"/>
        </w:rPr>
        <w:t xml:space="preserve">comparable geopolitical or policy shocks of the past </w:t>
      </w:r>
      <w:r w:rsidR="00B46422">
        <w:rPr>
          <w:color w:val="242318"/>
          <w:sz w:val="24"/>
          <w:szCs w:val="24"/>
        </w:rPr>
        <w:t xml:space="preserve">fifty-three </w:t>
      </w:r>
      <w:r>
        <w:rPr>
          <w:color w:val="242318"/>
          <w:sz w:val="24"/>
          <w:szCs w:val="24"/>
        </w:rPr>
        <w:t xml:space="preserve">years clearly makes the case for a constructive outlook on asset prices. In each instance, equities recovered and the investor who held through was rewarded. The market reaction has consistently overshot the fundamental damage to the economy. </w:t>
      </w:r>
    </w:p>
    <w:p w14:paraId="33D5934A" w14:textId="77777777" w:rsidR="00AD6A2F" w:rsidRDefault="00AD6A2F">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0"/>
        <w:gridCol w:w="1800"/>
        <w:gridCol w:w="1800"/>
        <w:gridCol w:w="2800"/>
      </w:tblGrid>
      <w:tr w:rsidR="00AD6A2F" w14:paraId="33D5934F" w14:textId="77777777">
        <w:trPr>
          <w:tblHeader/>
        </w:trPr>
        <w:tc>
          <w:tcPr>
            <w:tcW w:w="2960" w:type="dxa"/>
            <w:tcBorders>
              <w:bottom w:val="single" w:sz="4" w:space="0" w:color="C8960C"/>
            </w:tcBorders>
            <w:shd w:val="clear" w:color="auto" w:fill="1C1B12"/>
            <w:tcMar>
              <w:top w:w="80" w:type="dxa"/>
              <w:left w:w="120" w:type="dxa"/>
              <w:bottom w:w="80" w:type="dxa"/>
              <w:right w:w="120" w:type="dxa"/>
            </w:tcMar>
          </w:tcPr>
          <w:p w14:paraId="33D5934B" w14:textId="77777777" w:rsidR="00AD6A2F" w:rsidRDefault="00C81C1E">
            <w:r>
              <w:rPr>
                <w:rFonts w:ascii="Poppins" w:eastAsia="Poppins" w:hAnsi="Poppins" w:cs="Poppins"/>
                <w:b/>
                <w:bCs/>
                <w:color w:val="FFFFFF"/>
                <w:sz w:val="16"/>
                <w:szCs w:val="16"/>
              </w:rPr>
              <w:t>Geopolitical Shock</w:t>
            </w:r>
          </w:p>
        </w:tc>
        <w:tc>
          <w:tcPr>
            <w:tcW w:w="1800" w:type="dxa"/>
            <w:tcBorders>
              <w:bottom w:val="single" w:sz="4" w:space="0" w:color="C8960C"/>
            </w:tcBorders>
            <w:shd w:val="clear" w:color="auto" w:fill="1C1B12"/>
            <w:tcMar>
              <w:top w:w="80" w:type="dxa"/>
              <w:left w:w="120" w:type="dxa"/>
              <w:bottom w:w="80" w:type="dxa"/>
              <w:right w:w="120" w:type="dxa"/>
            </w:tcMar>
          </w:tcPr>
          <w:p w14:paraId="33D5934C" w14:textId="77777777" w:rsidR="00AD6A2F" w:rsidRDefault="00C81C1E">
            <w:pPr>
              <w:jc w:val="center"/>
            </w:pPr>
            <w:r>
              <w:rPr>
                <w:rFonts w:ascii="Poppins" w:eastAsia="Poppins" w:hAnsi="Poppins" w:cs="Poppins"/>
                <w:b/>
                <w:bCs/>
                <w:color w:val="FFFFFF"/>
                <w:sz w:val="16"/>
                <w:szCs w:val="16"/>
              </w:rPr>
              <w:t>Peak Drawdown</w:t>
            </w:r>
          </w:p>
        </w:tc>
        <w:tc>
          <w:tcPr>
            <w:tcW w:w="1800" w:type="dxa"/>
            <w:tcBorders>
              <w:bottom w:val="single" w:sz="4" w:space="0" w:color="C8960C"/>
            </w:tcBorders>
            <w:shd w:val="clear" w:color="auto" w:fill="1C1B12"/>
            <w:tcMar>
              <w:top w:w="80" w:type="dxa"/>
              <w:left w:w="120" w:type="dxa"/>
              <w:bottom w:w="80" w:type="dxa"/>
              <w:right w:w="120" w:type="dxa"/>
            </w:tcMar>
          </w:tcPr>
          <w:p w14:paraId="33D5934D" w14:textId="77777777" w:rsidR="00AD6A2F" w:rsidRDefault="00C81C1E">
            <w:pPr>
              <w:jc w:val="center"/>
            </w:pPr>
            <w:r>
              <w:rPr>
                <w:rFonts w:ascii="Poppins" w:eastAsia="Poppins" w:hAnsi="Poppins" w:cs="Poppins"/>
                <w:b/>
                <w:bCs/>
                <w:color w:val="FFFFFF"/>
                <w:sz w:val="16"/>
                <w:szCs w:val="16"/>
              </w:rPr>
              <w:t>Time to Prior High</w:t>
            </w:r>
          </w:p>
        </w:tc>
        <w:tc>
          <w:tcPr>
            <w:tcW w:w="2800" w:type="dxa"/>
            <w:tcBorders>
              <w:bottom w:val="single" w:sz="4" w:space="0" w:color="C8960C"/>
            </w:tcBorders>
            <w:shd w:val="clear" w:color="auto" w:fill="1C1B12"/>
            <w:tcMar>
              <w:top w:w="80" w:type="dxa"/>
              <w:left w:w="120" w:type="dxa"/>
              <w:bottom w:w="80" w:type="dxa"/>
              <w:right w:w="120" w:type="dxa"/>
            </w:tcMar>
          </w:tcPr>
          <w:p w14:paraId="33D5934E" w14:textId="77777777" w:rsidR="00AD6A2F" w:rsidRDefault="00C81C1E">
            <w:pPr>
              <w:jc w:val="center"/>
            </w:pPr>
            <w:r>
              <w:rPr>
                <w:rFonts w:ascii="Poppins" w:eastAsia="Poppins" w:hAnsi="Poppins" w:cs="Poppins"/>
                <w:b/>
                <w:bCs/>
                <w:color w:val="FFFFFF"/>
                <w:sz w:val="16"/>
                <w:szCs w:val="16"/>
              </w:rPr>
              <w:t>12-Mo Return from Low</w:t>
            </w:r>
          </w:p>
        </w:tc>
      </w:tr>
      <w:tr w:rsidR="00AD6A2F" w14:paraId="44A10001" w14:textId="77777777">
        <w:tc>
          <w:tcPr>
            <w:tcW w:w="2960" w:type="dxa"/>
            <w:tcBorders>
              <w:bottom w:val="single" w:sz="1" w:space="0" w:color="E8E4DC"/>
            </w:tcBorders>
            <w:shd w:val="clear" w:color="auto" w:fill="FDFAF4"/>
            <w:tcMar>
              <w:top w:w="60" w:type="dxa"/>
              <w:left w:w="120" w:type="dxa"/>
              <w:bottom w:w="60" w:type="dxa"/>
              <w:right w:w="120" w:type="dxa"/>
            </w:tcMar>
          </w:tcPr>
          <w:p w14:paraId="44A10002" w14:textId="77777777" w:rsidR="00AD6A2F" w:rsidRDefault="00C81C1E">
            <w:r>
              <w:rPr>
                <w:color w:val="242318"/>
                <w:sz w:val="18"/>
                <w:szCs w:val="18"/>
              </w:rPr>
              <w:t>Arab Oil Embargo (1973–74)</w:t>
            </w:r>
          </w:p>
        </w:tc>
        <w:tc>
          <w:tcPr>
            <w:tcW w:w="1800" w:type="dxa"/>
            <w:tcBorders>
              <w:bottom w:val="single" w:sz="1" w:space="0" w:color="E8E4DC"/>
            </w:tcBorders>
            <w:shd w:val="clear" w:color="auto" w:fill="FDFAF4"/>
            <w:tcMar>
              <w:top w:w="60" w:type="dxa"/>
              <w:left w:w="120" w:type="dxa"/>
              <w:bottom w:w="60" w:type="dxa"/>
              <w:right w:w="120" w:type="dxa"/>
            </w:tcMar>
          </w:tcPr>
          <w:p w14:paraId="44A10003" w14:textId="77777777" w:rsidR="00AD6A2F" w:rsidRDefault="00C81C1E">
            <w:pPr>
              <w:jc w:val="center"/>
            </w:pPr>
            <w:r>
              <w:rPr>
                <w:color w:val="242318"/>
                <w:sz w:val="18"/>
                <w:szCs w:val="18"/>
              </w:rPr>
              <w:t>−48.2%</w:t>
            </w:r>
          </w:p>
        </w:tc>
        <w:tc>
          <w:tcPr>
            <w:tcW w:w="1800" w:type="dxa"/>
            <w:tcBorders>
              <w:bottom w:val="single" w:sz="1" w:space="0" w:color="E8E4DC"/>
            </w:tcBorders>
            <w:shd w:val="clear" w:color="auto" w:fill="FDFAF4"/>
            <w:tcMar>
              <w:top w:w="60" w:type="dxa"/>
              <w:left w:w="120" w:type="dxa"/>
              <w:bottom w:w="60" w:type="dxa"/>
              <w:right w:w="120" w:type="dxa"/>
            </w:tcMar>
          </w:tcPr>
          <w:p w14:paraId="44A10004" w14:textId="77777777" w:rsidR="00AD6A2F" w:rsidRDefault="00C81C1E">
            <w:pPr>
              <w:jc w:val="center"/>
            </w:pPr>
            <w:r>
              <w:rPr>
                <w:color w:val="242318"/>
                <w:sz w:val="18"/>
                <w:szCs w:val="18"/>
              </w:rPr>
              <w:t>~2 years</w:t>
            </w:r>
          </w:p>
        </w:tc>
        <w:tc>
          <w:tcPr>
            <w:tcW w:w="2800" w:type="dxa"/>
            <w:tcBorders>
              <w:bottom w:val="single" w:sz="1" w:space="0" w:color="E8E4DC"/>
            </w:tcBorders>
            <w:shd w:val="clear" w:color="auto" w:fill="FDFAF4"/>
            <w:tcMar>
              <w:top w:w="60" w:type="dxa"/>
              <w:left w:w="120" w:type="dxa"/>
              <w:bottom w:w="60" w:type="dxa"/>
              <w:right w:w="120" w:type="dxa"/>
            </w:tcMar>
          </w:tcPr>
          <w:p w14:paraId="44A10005" w14:textId="77777777" w:rsidR="00AD6A2F" w:rsidRDefault="00C81C1E">
            <w:pPr>
              <w:jc w:val="center"/>
            </w:pPr>
            <w:r>
              <w:rPr>
                <w:color w:val="242318"/>
                <w:sz w:val="18"/>
                <w:szCs w:val="18"/>
              </w:rPr>
              <w:t>+37%</w:t>
            </w:r>
          </w:p>
        </w:tc>
      </w:tr>
      <w:tr w:rsidR="00AD6A2F" w14:paraId="33D59354" w14:textId="77777777">
        <w:tc>
          <w:tcPr>
            <w:tcW w:w="2960" w:type="dxa"/>
            <w:tcBorders>
              <w:bottom w:val="single" w:sz="1" w:space="0" w:color="E8E4DC"/>
            </w:tcBorders>
            <w:shd w:val="clear" w:color="auto" w:fill="FFFFFF"/>
            <w:tcMar>
              <w:top w:w="60" w:type="dxa"/>
              <w:left w:w="120" w:type="dxa"/>
              <w:bottom w:w="60" w:type="dxa"/>
              <w:right w:w="120" w:type="dxa"/>
            </w:tcMar>
          </w:tcPr>
          <w:p w14:paraId="33D59350" w14:textId="77777777" w:rsidR="00AD6A2F" w:rsidRDefault="00C81C1E">
            <w:r>
              <w:rPr>
                <w:color w:val="242318"/>
                <w:sz w:val="18"/>
                <w:szCs w:val="18"/>
              </w:rPr>
              <w:t>Gulf War (1990–91)</w:t>
            </w:r>
          </w:p>
        </w:tc>
        <w:tc>
          <w:tcPr>
            <w:tcW w:w="1800" w:type="dxa"/>
            <w:tcBorders>
              <w:bottom w:val="single" w:sz="1" w:space="0" w:color="E8E4DC"/>
            </w:tcBorders>
            <w:shd w:val="clear" w:color="auto" w:fill="FFFFFF"/>
            <w:tcMar>
              <w:top w:w="60" w:type="dxa"/>
              <w:left w:w="120" w:type="dxa"/>
              <w:bottom w:w="60" w:type="dxa"/>
              <w:right w:w="120" w:type="dxa"/>
            </w:tcMar>
          </w:tcPr>
          <w:p w14:paraId="33D59351" w14:textId="77777777" w:rsidR="00AD6A2F" w:rsidRDefault="00C81C1E">
            <w:pPr>
              <w:jc w:val="center"/>
            </w:pPr>
            <w:r>
              <w:rPr>
                <w:color w:val="242318"/>
                <w:sz w:val="18"/>
                <w:szCs w:val="18"/>
              </w:rPr>
              <w:t>−16.9%</w:t>
            </w:r>
          </w:p>
        </w:tc>
        <w:tc>
          <w:tcPr>
            <w:tcW w:w="1800" w:type="dxa"/>
            <w:tcBorders>
              <w:bottom w:val="single" w:sz="1" w:space="0" w:color="E8E4DC"/>
            </w:tcBorders>
            <w:shd w:val="clear" w:color="auto" w:fill="FFFFFF"/>
            <w:tcMar>
              <w:top w:w="60" w:type="dxa"/>
              <w:left w:w="120" w:type="dxa"/>
              <w:bottom w:w="60" w:type="dxa"/>
              <w:right w:w="120" w:type="dxa"/>
            </w:tcMar>
          </w:tcPr>
          <w:p w14:paraId="33D59352" w14:textId="77777777" w:rsidR="00AD6A2F" w:rsidRDefault="00C81C1E">
            <w:pPr>
              <w:jc w:val="center"/>
            </w:pPr>
            <w:r>
              <w:rPr>
                <w:color w:val="242318"/>
                <w:sz w:val="18"/>
                <w:szCs w:val="18"/>
              </w:rPr>
              <w:t>~3 months</w:t>
            </w:r>
          </w:p>
        </w:tc>
        <w:tc>
          <w:tcPr>
            <w:tcW w:w="2800" w:type="dxa"/>
            <w:tcBorders>
              <w:bottom w:val="single" w:sz="1" w:space="0" w:color="E8E4DC"/>
            </w:tcBorders>
            <w:shd w:val="clear" w:color="auto" w:fill="FFFFFF"/>
            <w:tcMar>
              <w:top w:w="60" w:type="dxa"/>
              <w:left w:w="120" w:type="dxa"/>
              <w:bottom w:w="60" w:type="dxa"/>
              <w:right w:w="120" w:type="dxa"/>
            </w:tcMar>
          </w:tcPr>
          <w:p w14:paraId="33D59353" w14:textId="77777777" w:rsidR="00AD6A2F" w:rsidRDefault="00C81C1E">
            <w:pPr>
              <w:jc w:val="center"/>
            </w:pPr>
            <w:r>
              <w:rPr>
                <w:color w:val="242318"/>
                <w:sz w:val="18"/>
                <w:szCs w:val="18"/>
              </w:rPr>
              <w:t>+32%</w:t>
            </w:r>
          </w:p>
        </w:tc>
      </w:tr>
      <w:tr w:rsidR="00AD6A2F" w14:paraId="33D5935E" w14:textId="77777777">
        <w:tc>
          <w:tcPr>
            <w:tcW w:w="2960" w:type="dxa"/>
            <w:tcBorders>
              <w:bottom w:val="single" w:sz="1" w:space="0" w:color="E8E4DC"/>
            </w:tcBorders>
            <w:shd w:val="clear" w:color="auto" w:fill="FDFAF4"/>
            <w:tcMar>
              <w:top w:w="60" w:type="dxa"/>
              <w:left w:w="120" w:type="dxa"/>
              <w:bottom w:w="60" w:type="dxa"/>
              <w:right w:w="120" w:type="dxa"/>
            </w:tcMar>
          </w:tcPr>
          <w:p w14:paraId="33D5935A" w14:textId="77777777" w:rsidR="00AD6A2F" w:rsidRDefault="00C81C1E">
            <w:r>
              <w:rPr>
                <w:color w:val="242318"/>
                <w:sz w:val="18"/>
                <w:szCs w:val="18"/>
              </w:rPr>
              <w:t>Iraq War Onset (2003)</w:t>
            </w:r>
          </w:p>
        </w:tc>
        <w:tc>
          <w:tcPr>
            <w:tcW w:w="1800" w:type="dxa"/>
            <w:tcBorders>
              <w:bottom w:val="single" w:sz="1" w:space="0" w:color="E8E4DC"/>
            </w:tcBorders>
            <w:shd w:val="clear" w:color="auto" w:fill="FDFAF4"/>
            <w:tcMar>
              <w:top w:w="60" w:type="dxa"/>
              <w:left w:w="120" w:type="dxa"/>
              <w:bottom w:w="60" w:type="dxa"/>
              <w:right w:w="120" w:type="dxa"/>
            </w:tcMar>
          </w:tcPr>
          <w:p w14:paraId="33D5935B" w14:textId="77777777" w:rsidR="00AD6A2F" w:rsidRDefault="00C81C1E">
            <w:pPr>
              <w:jc w:val="center"/>
            </w:pPr>
            <w:r>
              <w:rPr>
                <w:color w:val="242318"/>
                <w:sz w:val="18"/>
                <w:szCs w:val="18"/>
              </w:rPr>
              <w:t>−14.7%</w:t>
            </w:r>
          </w:p>
        </w:tc>
        <w:tc>
          <w:tcPr>
            <w:tcW w:w="1800" w:type="dxa"/>
            <w:tcBorders>
              <w:bottom w:val="single" w:sz="1" w:space="0" w:color="E8E4DC"/>
            </w:tcBorders>
            <w:shd w:val="clear" w:color="auto" w:fill="FDFAF4"/>
            <w:tcMar>
              <w:top w:w="60" w:type="dxa"/>
              <w:left w:w="120" w:type="dxa"/>
              <w:bottom w:w="60" w:type="dxa"/>
              <w:right w:w="120" w:type="dxa"/>
            </w:tcMar>
          </w:tcPr>
          <w:p w14:paraId="33D5935C" w14:textId="77777777" w:rsidR="00AD6A2F" w:rsidRDefault="00C81C1E">
            <w:pPr>
              <w:jc w:val="center"/>
            </w:pPr>
            <w:r>
              <w:rPr>
                <w:color w:val="242318"/>
                <w:sz w:val="18"/>
                <w:szCs w:val="18"/>
              </w:rPr>
              <w:t>~3 months</w:t>
            </w:r>
          </w:p>
        </w:tc>
        <w:tc>
          <w:tcPr>
            <w:tcW w:w="2800" w:type="dxa"/>
            <w:tcBorders>
              <w:bottom w:val="single" w:sz="1" w:space="0" w:color="E8E4DC"/>
            </w:tcBorders>
            <w:shd w:val="clear" w:color="auto" w:fill="FDFAF4"/>
            <w:tcMar>
              <w:top w:w="60" w:type="dxa"/>
              <w:left w:w="120" w:type="dxa"/>
              <w:bottom w:w="60" w:type="dxa"/>
              <w:right w:w="120" w:type="dxa"/>
            </w:tcMar>
          </w:tcPr>
          <w:p w14:paraId="33D5935D" w14:textId="77777777" w:rsidR="00AD6A2F" w:rsidRDefault="00C81C1E">
            <w:pPr>
              <w:jc w:val="center"/>
            </w:pPr>
            <w:r>
              <w:rPr>
                <w:color w:val="242318"/>
                <w:sz w:val="18"/>
                <w:szCs w:val="18"/>
              </w:rPr>
              <w:t>+27%</w:t>
            </w:r>
          </w:p>
        </w:tc>
      </w:tr>
      <w:tr w:rsidR="00AD6A2F" w14:paraId="33D5936D" w14:textId="77777777">
        <w:tc>
          <w:tcPr>
            <w:tcW w:w="2960" w:type="dxa"/>
            <w:tcBorders>
              <w:bottom w:val="single" w:sz="1" w:space="0" w:color="E8E4DC"/>
            </w:tcBorders>
            <w:shd w:val="clear" w:color="auto" w:fill="FFFFFF"/>
            <w:tcMar>
              <w:top w:w="60" w:type="dxa"/>
              <w:left w:w="120" w:type="dxa"/>
              <w:bottom w:w="60" w:type="dxa"/>
              <w:right w:w="120" w:type="dxa"/>
            </w:tcMar>
          </w:tcPr>
          <w:p w14:paraId="33D59369" w14:textId="77777777" w:rsidR="00AD6A2F" w:rsidRDefault="00C81C1E">
            <w:r>
              <w:rPr>
                <w:color w:val="242318"/>
                <w:sz w:val="18"/>
                <w:szCs w:val="18"/>
              </w:rPr>
              <w:t>Tariff Tantrum (Mar 2025)</w:t>
            </w:r>
          </w:p>
        </w:tc>
        <w:tc>
          <w:tcPr>
            <w:tcW w:w="1800" w:type="dxa"/>
            <w:tcBorders>
              <w:bottom w:val="single" w:sz="1" w:space="0" w:color="E8E4DC"/>
            </w:tcBorders>
            <w:shd w:val="clear" w:color="auto" w:fill="FFFFFF"/>
            <w:tcMar>
              <w:top w:w="60" w:type="dxa"/>
              <w:left w:w="120" w:type="dxa"/>
              <w:bottom w:w="60" w:type="dxa"/>
              <w:right w:w="120" w:type="dxa"/>
            </w:tcMar>
          </w:tcPr>
          <w:p w14:paraId="33D5936A" w14:textId="77777777" w:rsidR="00AD6A2F" w:rsidRDefault="00C81C1E">
            <w:pPr>
              <w:jc w:val="center"/>
            </w:pPr>
            <w:r>
              <w:rPr>
                <w:color w:val="242318"/>
                <w:sz w:val="18"/>
                <w:szCs w:val="18"/>
              </w:rPr>
              <w:t>−18.8%</w:t>
            </w:r>
          </w:p>
        </w:tc>
        <w:tc>
          <w:tcPr>
            <w:tcW w:w="1800" w:type="dxa"/>
            <w:tcBorders>
              <w:bottom w:val="single" w:sz="1" w:space="0" w:color="E8E4DC"/>
            </w:tcBorders>
            <w:shd w:val="clear" w:color="auto" w:fill="FFFFFF"/>
            <w:tcMar>
              <w:top w:w="60" w:type="dxa"/>
              <w:left w:w="120" w:type="dxa"/>
              <w:bottom w:w="60" w:type="dxa"/>
              <w:right w:w="120" w:type="dxa"/>
            </w:tcMar>
          </w:tcPr>
          <w:p w14:paraId="33D5936B" w14:textId="77777777" w:rsidR="00AD6A2F" w:rsidRDefault="00C81C1E">
            <w:pPr>
              <w:jc w:val="center"/>
            </w:pPr>
            <w:r>
              <w:rPr>
                <w:color w:val="242318"/>
                <w:sz w:val="18"/>
                <w:szCs w:val="18"/>
              </w:rPr>
              <w:t>~3 months</w:t>
            </w:r>
          </w:p>
        </w:tc>
        <w:tc>
          <w:tcPr>
            <w:tcW w:w="2800" w:type="dxa"/>
            <w:tcBorders>
              <w:bottom w:val="single" w:sz="1" w:space="0" w:color="E8E4DC"/>
            </w:tcBorders>
            <w:shd w:val="clear" w:color="auto" w:fill="FFFFFF"/>
            <w:tcMar>
              <w:top w:w="60" w:type="dxa"/>
              <w:left w:w="120" w:type="dxa"/>
              <w:bottom w:w="60" w:type="dxa"/>
              <w:right w:w="120" w:type="dxa"/>
            </w:tcMar>
          </w:tcPr>
          <w:p w14:paraId="33D5936C" w14:textId="77777777" w:rsidR="00AD6A2F" w:rsidRDefault="00C81C1E">
            <w:pPr>
              <w:jc w:val="center"/>
            </w:pPr>
            <w:r>
              <w:rPr>
                <w:color w:val="242318"/>
                <w:sz w:val="18"/>
                <w:szCs w:val="18"/>
              </w:rPr>
              <w:t>+27%†</w:t>
            </w:r>
          </w:p>
        </w:tc>
      </w:tr>
    </w:tbl>
    <w:p w14:paraId="33D5936E" w14:textId="77777777" w:rsidR="00AD6A2F" w:rsidRDefault="00C81C1E">
      <w:pPr>
        <w:spacing w:before="60" w:after="160"/>
      </w:pPr>
      <w:r>
        <w:rPr>
          <w:i/>
          <w:iCs/>
          <w:color w:val="6B6B6B"/>
          <w:sz w:val="14"/>
          <w:szCs w:val="14"/>
        </w:rPr>
        <w:t>† Tariff Tantrum return is ~11 months (trough Apr 2025 through Mar 30, 2026); full 12-month figure not yet available.  Source: Bloomberg, S&amp;P 500 total return. Past performance does not guarantee future results.</w:t>
      </w:r>
    </w:p>
    <w:p w14:paraId="33D59371" w14:textId="2A0441BA" w:rsidR="00AD6A2F" w:rsidRDefault="00C81C1E" w:rsidP="00D25D99">
      <w:pPr>
        <w:spacing w:after="120"/>
        <w:jc w:val="both"/>
      </w:pPr>
      <w:r>
        <w:rPr>
          <w:color w:val="242318"/>
          <w:sz w:val="24"/>
          <w:szCs w:val="24"/>
        </w:rPr>
        <w:t>Persistent pessimism is not a conservative strategy</w:t>
      </w:r>
      <w:r w:rsidR="0092325E">
        <w:rPr>
          <w:color w:val="242318"/>
          <w:sz w:val="24"/>
          <w:szCs w:val="24"/>
        </w:rPr>
        <w:t>, bu</w:t>
      </w:r>
      <w:r>
        <w:rPr>
          <w:color w:val="242318"/>
          <w:sz w:val="24"/>
          <w:szCs w:val="24"/>
        </w:rPr>
        <w:t xml:space="preserve">t </w:t>
      </w:r>
      <w:r w:rsidR="0092325E">
        <w:rPr>
          <w:color w:val="242318"/>
          <w:sz w:val="24"/>
          <w:szCs w:val="24"/>
        </w:rPr>
        <w:t xml:space="preserve">it </w:t>
      </w:r>
      <w:r w:rsidR="00B72196">
        <w:rPr>
          <w:color w:val="242318"/>
          <w:sz w:val="24"/>
          <w:szCs w:val="24"/>
        </w:rPr>
        <w:t>c</w:t>
      </w:r>
      <w:r>
        <w:rPr>
          <w:color w:val="242318"/>
          <w:sz w:val="24"/>
          <w:szCs w:val="24"/>
        </w:rPr>
        <w:t xml:space="preserve">an </w:t>
      </w:r>
      <w:r w:rsidR="00B72196">
        <w:rPr>
          <w:color w:val="242318"/>
          <w:sz w:val="24"/>
          <w:szCs w:val="24"/>
        </w:rPr>
        <w:t xml:space="preserve">be </w:t>
      </w:r>
      <w:r w:rsidR="0092325E">
        <w:rPr>
          <w:color w:val="242318"/>
          <w:sz w:val="24"/>
          <w:szCs w:val="24"/>
        </w:rPr>
        <w:t xml:space="preserve">an </w:t>
      </w:r>
      <w:r>
        <w:rPr>
          <w:color w:val="242318"/>
          <w:sz w:val="24"/>
          <w:szCs w:val="24"/>
        </w:rPr>
        <w:t>expensive one. The companies we own do not necessarily cease to be profitable because of the news cycle. Their earnings power, pricing power, and long-term competitive position remain intact. What is temporarily impaired is the multiple the market is willing to pay for those earnings because of the fog of war. Optimism, defined this way, is not an emotional posture. It is the posture that long-run data supports.</w:t>
      </w:r>
    </w:p>
    <w:p w14:paraId="33D59373" w14:textId="77777777" w:rsidR="00AD6A2F" w:rsidRDefault="00C81C1E">
      <w:pPr>
        <w:spacing w:before="200" w:after="60"/>
      </w:pPr>
      <w:r>
        <w:rPr>
          <w:rFonts w:ascii="Poppins" w:eastAsia="Poppins" w:hAnsi="Poppins" w:cs="Poppins"/>
          <w:b/>
          <w:bCs/>
          <w:color w:val="C8960C"/>
          <w:spacing w:val="180"/>
          <w:sz w:val="14"/>
          <w:szCs w:val="14"/>
        </w:rPr>
        <w:t>PORTFOLIO POSITIONING</w:t>
      </w:r>
    </w:p>
    <w:p w14:paraId="6689DD8A" w14:textId="77777777" w:rsidR="00033983" w:rsidRDefault="00033983">
      <w:pPr>
        <w:pBdr>
          <w:bottom w:val="single" w:sz="3" w:space="4" w:color="E8E4DC"/>
        </w:pBdr>
        <w:spacing w:after="140"/>
        <w:rPr>
          <w:rFonts w:ascii="Lora" w:eastAsia="Lora" w:hAnsi="Lora" w:cs="Lora"/>
          <w:b/>
          <w:bCs/>
          <w:color w:val="1C1B12"/>
          <w:sz w:val="34"/>
          <w:szCs w:val="34"/>
        </w:rPr>
      </w:pPr>
    </w:p>
    <w:p w14:paraId="33D59374" w14:textId="33412DE1" w:rsidR="00AD6A2F" w:rsidRDefault="00C81C1E">
      <w:pPr>
        <w:pBdr>
          <w:bottom w:val="single" w:sz="3" w:space="4" w:color="E8E4DC"/>
        </w:pBdr>
        <w:spacing w:after="140"/>
      </w:pPr>
      <w:r>
        <w:rPr>
          <w:rFonts w:ascii="Lora" w:eastAsia="Lora" w:hAnsi="Lora" w:cs="Lora"/>
          <w:b/>
          <w:bCs/>
          <w:color w:val="1C1B12"/>
          <w:sz w:val="34"/>
          <w:szCs w:val="34"/>
        </w:rPr>
        <w:t>How We Are Positioned</w:t>
      </w:r>
    </w:p>
    <w:p w14:paraId="33D5937C" w14:textId="7B12F578" w:rsidR="00AD6A2F" w:rsidRPr="0000641A" w:rsidRDefault="00C81C1E" w:rsidP="00CA7112">
      <w:pPr>
        <w:spacing w:after="120"/>
        <w:jc w:val="both"/>
        <w:rPr>
          <w:sz w:val="24"/>
          <w:szCs w:val="24"/>
        </w:rPr>
      </w:pPr>
      <w:r>
        <w:rPr>
          <w:color w:val="242318"/>
          <w:sz w:val="24"/>
          <w:szCs w:val="24"/>
        </w:rPr>
        <w:t>Our portfolios enter this period of uncertainty without leverage and without speculative positions on geopolitical outcomes or commodities. We hold a portfolio of high-quality businesses we know well and own at valuations we find attractive given the growth opportunity laid out in the coming years. On the fixed income side, high-quality bonds are</w:t>
      </w:r>
      <w:r w:rsidR="00B3183E">
        <w:rPr>
          <w:color w:val="242318"/>
          <w:sz w:val="24"/>
          <w:szCs w:val="24"/>
        </w:rPr>
        <w:t xml:space="preserve"> </w:t>
      </w:r>
      <w:r>
        <w:rPr>
          <w:color w:val="242318"/>
          <w:sz w:val="24"/>
          <w:szCs w:val="24"/>
        </w:rPr>
        <w:t xml:space="preserve">providing the ballast they were purchased to provide. However, we are, and will remain, deficit hawks with concerns about the global rise in interest rates. </w:t>
      </w:r>
      <w:r w:rsidR="00B00B3E">
        <w:rPr>
          <w:color w:val="242318"/>
          <w:sz w:val="24"/>
          <w:szCs w:val="24"/>
        </w:rPr>
        <w:t xml:space="preserve">It is worth noting that </w:t>
      </w:r>
      <w:r w:rsidR="00A5243A">
        <w:rPr>
          <w:color w:val="242318"/>
          <w:sz w:val="24"/>
          <w:szCs w:val="24"/>
        </w:rPr>
        <w:t xml:space="preserve">energy </w:t>
      </w:r>
      <w:r w:rsidR="00B00B3E">
        <w:rPr>
          <w:color w:val="242318"/>
          <w:sz w:val="24"/>
          <w:szCs w:val="24"/>
        </w:rPr>
        <w:t>supply shocks do not ne</w:t>
      </w:r>
      <w:r w:rsidR="00A5243A">
        <w:rPr>
          <w:color w:val="242318"/>
          <w:sz w:val="24"/>
          <w:szCs w:val="24"/>
        </w:rPr>
        <w:t>cessarily lead to persistent inflation</w:t>
      </w:r>
      <w:r w:rsidR="00F04079">
        <w:rPr>
          <w:color w:val="242318"/>
          <w:sz w:val="24"/>
          <w:szCs w:val="24"/>
        </w:rPr>
        <w:t xml:space="preserve">. It takes the coincidence of major policy blunders to </w:t>
      </w:r>
      <w:r w:rsidR="00094BF1">
        <w:rPr>
          <w:color w:val="242318"/>
          <w:sz w:val="24"/>
          <w:szCs w:val="24"/>
        </w:rPr>
        <w:t xml:space="preserve">bring that to the forefront. </w:t>
      </w:r>
      <w:r>
        <w:rPr>
          <w:color w:val="242318"/>
          <w:sz w:val="24"/>
          <w:szCs w:val="24"/>
        </w:rPr>
        <w:t>When valuations become genuinely attractive, we are prepared to add selectively. We cannot reliably time the bottom during adverse environments.  We look for valuation opportunities</w:t>
      </w:r>
      <w:r w:rsidR="00094BF1">
        <w:rPr>
          <w:color w:val="242318"/>
          <w:sz w:val="24"/>
          <w:szCs w:val="24"/>
        </w:rPr>
        <w:t xml:space="preserve"> and remain</w:t>
      </w:r>
      <w:r w:rsidR="00C4788F">
        <w:rPr>
          <w:color w:val="242318"/>
          <w:sz w:val="24"/>
          <w:szCs w:val="24"/>
        </w:rPr>
        <w:t xml:space="preserve"> optimistic</w:t>
      </w:r>
      <w:r w:rsidR="00B3183E">
        <w:rPr>
          <w:color w:val="242318"/>
          <w:sz w:val="24"/>
          <w:szCs w:val="24"/>
        </w:rPr>
        <w:t>.</w:t>
      </w:r>
    </w:p>
    <w:p w14:paraId="33D5937D" w14:textId="77777777" w:rsidR="00AD6A2F" w:rsidRDefault="00AD6A2F">
      <w:pPr>
        <w:pBdr>
          <w:bottom w:val="single" w:sz="6" w:space="1" w:color="C8960C"/>
        </w:pBdr>
      </w:pPr>
    </w:p>
    <w:p w14:paraId="33D5937E" w14:textId="77777777" w:rsidR="00AD6A2F" w:rsidRDefault="00AD6A2F">
      <w:pPr>
        <w:spacing w:after="160"/>
      </w:pPr>
    </w:p>
    <w:p w14:paraId="33D5937F" w14:textId="2E4D5363" w:rsidR="00AD6A2F" w:rsidRPr="0000641A" w:rsidRDefault="006E553C">
      <w:pPr>
        <w:spacing w:after="120"/>
        <w:jc w:val="both"/>
        <w:rPr>
          <w:sz w:val="24"/>
          <w:szCs w:val="24"/>
        </w:rPr>
      </w:pPr>
      <w:r>
        <w:rPr>
          <w:color w:val="242318"/>
          <w:sz w:val="24"/>
          <w:szCs w:val="24"/>
        </w:rPr>
        <w:t>As always, I am available to discuss any of these topics in greater detail.  Please reach out to discuss your concerns, your portfolio, or the broader environment.</w:t>
      </w:r>
    </w:p>
    <w:p w14:paraId="33D59380" w14:textId="77777777" w:rsidR="00AD6A2F" w:rsidRDefault="00AD6A2F">
      <w:pPr>
        <w:spacing w:after="120"/>
      </w:pPr>
    </w:p>
    <w:p w14:paraId="33D59381" w14:textId="77777777" w:rsidR="00AD6A2F" w:rsidRDefault="00C81C1E">
      <w:pPr>
        <w:spacing w:after="40"/>
      </w:pPr>
      <w:r>
        <w:rPr>
          <w:rFonts w:ascii="Lora" w:eastAsia="Lora" w:hAnsi="Lora" w:cs="Lora"/>
          <w:b/>
          <w:bCs/>
          <w:color w:val="1C1B12"/>
          <w:sz w:val="24"/>
          <w:szCs w:val="24"/>
        </w:rPr>
        <w:t>Robert Traenkle</w:t>
      </w:r>
    </w:p>
    <w:p w14:paraId="33D59382" w14:textId="4DEA6002" w:rsidR="00AD6A2F" w:rsidRDefault="007F7775">
      <w:pPr>
        <w:spacing w:after="40"/>
      </w:pPr>
      <w:r>
        <w:rPr>
          <w:color w:val="6B6B6B"/>
          <w:sz w:val="18"/>
          <w:szCs w:val="18"/>
        </w:rPr>
        <w:t xml:space="preserve">Managing </w:t>
      </w:r>
      <w:proofErr w:type="gramStart"/>
      <w:r>
        <w:rPr>
          <w:color w:val="6B6B6B"/>
          <w:sz w:val="18"/>
          <w:szCs w:val="18"/>
        </w:rPr>
        <w:t>Partner  ·</w:t>
      </w:r>
      <w:proofErr w:type="gramEnd"/>
      <w:r>
        <w:rPr>
          <w:color w:val="6B6B6B"/>
          <w:sz w:val="18"/>
          <w:szCs w:val="18"/>
        </w:rPr>
        <w:t xml:space="preserve">  Helianth Investment Management, LLC</w:t>
      </w:r>
    </w:p>
    <w:p w14:paraId="33D59383" w14:textId="7E48E0AA" w:rsidR="00AD6A2F" w:rsidRPr="003A79F3" w:rsidRDefault="00C81C1E">
      <w:pPr>
        <w:rPr>
          <w:color w:val="0070C0"/>
        </w:rPr>
      </w:pPr>
      <w:r>
        <w:rPr>
          <w:color w:val="0070C0"/>
          <w:sz w:val="18"/>
          <w:szCs w:val="18"/>
        </w:rPr>
        <w:t>bob@helianthinvestment.com</w:t>
      </w:r>
    </w:p>
    <w:sectPr w:rsidR="00AD6A2F" w:rsidRPr="003A79F3">
      <w:headerReference w:type="default" r:id="rId7"/>
      <w:footerReference w:type="default" r:id="rId8"/>
      <w:pgSz w:w="12240" w:h="15840"/>
      <w:pgMar w:top="90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B869" w14:textId="77777777" w:rsidR="00A639F5" w:rsidRDefault="00A639F5">
      <w:r>
        <w:separator/>
      </w:r>
    </w:p>
  </w:endnote>
  <w:endnote w:type="continuationSeparator" w:id="0">
    <w:p w14:paraId="5484389F" w14:textId="77777777" w:rsidR="00A639F5" w:rsidRDefault="00A6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Lora">
    <w:charset w:val="00"/>
    <w:family w:val="auto"/>
    <w:pitch w:val="variable"/>
    <w:sig w:usb0="A00002FF" w:usb1="50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9385" w14:textId="77777777" w:rsidR="00AD6A2F" w:rsidRDefault="00AD6A2F">
    <w:pPr>
      <w:pBdr>
        <w:top w:val="single" w:sz="4" w:space="3" w:color="C8960C"/>
      </w:pBdr>
      <w:spacing w:after="40"/>
    </w:pPr>
  </w:p>
  <w:p w14:paraId="33D59386" w14:textId="1B026A81" w:rsidR="00AD6A2F" w:rsidRDefault="00C81C1E">
    <w:pPr>
      <w:tabs>
        <w:tab w:val="right" w:pos="9026"/>
      </w:tabs>
      <w:spacing w:after="40"/>
    </w:pPr>
    <w:r>
      <w:rPr>
        <w:color w:val="6B6B6B"/>
        <w:sz w:val="13"/>
        <w:szCs w:val="13"/>
      </w:rPr>
      <w:t>Investing in U.S. stocks and bonds involves material risk, including the potential loss of principal. Past performance does not guarantee future results. This content is for informational purposes only and does not constitute an offer to buy or sell securities. Refer to Form ADV Part 2A for a full description of risks and fees.</w:t>
    </w:r>
    <w:r>
      <w:tab/>
    </w:r>
    <w:r>
      <w:rPr>
        <w:color w:val="6B6B6B"/>
        <w:sz w:val="13"/>
        <w:szCs w:val="13"/>
      </w:rPr>
      <w:fldChar w:fldCharType="begin"/>
    </w:r>
    <w:r>
      <w:rPr>
        <w:color w:val="6B6B6B"/>
        <w:sz w:val="13"/>
        <w:szCs w:val="13"/>
      </w:rPr>
      <w:instrText>PAGE</w:instrText>
    </w:r>
    <w:r>
      <w:rPr>
        <w:color w:val="6B6B6B"/>
        <w:sz w:val="13"/>
        <w:szCs w:val="13"/>
      </w:rPr>
      <w:fldChar w:fldCharType="separate"/>
    </w:r>
    <w:r w:rsidR="0074377E">
      <w:rPr>
        <w:noProof/>
        <w:color w:val="6B6B6B"/>
        <w:sz w:val="13"/>
        <w:szCs w:val="13"/>
      </w:rPr>
      <w:t>1</w:t>
    </w:r>
    <w:r>
      <w:rPr>
        <w:color w:val="6B6B6B"/>
        <w:sz w:val="13"/>
        <w:szCs w:val="13"/>
      </w:rPr>
      <w:fldChar w:fldCharType="end"/>
    </w:r>
  </w:p>
  <w:p w14:paraId="33D59387" w14:textId="77777777" w:rsidR="00AD6A2F" w:rsidRDefault="00C81C1E">
    <w:r>
      <w:rPr>
        <w:color w:val="6B6B6B"/>
        <w:sz w:val="13"/>
        <w:szCs w:val="13"/>
      </w:rPr>
      <w:t xml:space="preserve">© 2026 Helianth Investment Management, </w:t>
    </w:r>
    <w:proofErr w:type="gramStart"/>
    <w:r>
      <w:rPr>
        <w:color w:val="6B6B6B"/>
        <w:sz w:val="13"/>
        <w:szCs w:val="13"/>
      </w:rPr>
      <w:t>LLC  ·</w:t>
    </w:r>
    <w:proofErr w:type="gramEnd"/>
    <w:r>
      <w:rPr>
        <w:color w:val="6B6B6B"/>
        <w:sz w:val="13"/>
        <w:szCs w:val="13"/>
      </w:rPr>
      <w:t xml:space="preserve">  Active Independent Investment </w:t>
    </w:r>
    <w:proofErr w:type="gramStart"/>
    <w:r>
      <w:rPr>
        <w:color w:val="6B6B6B"/>
        <w:sz w:val="13"/>
        <w:szCs w:val="13"/>
      </w:rPr>
      <w:t>Advisor  ·</w:t>
    </w:r>
    <w:proofErr w:type="gramEnd"/>
    <w:r>
      <w:rPr>
        <w:color w:val="6B6B6B"/>
        <w:sz w:val="13"/>
        <w:szCs w:val="13"/>
      </w:rPr>
      <w:t xml:space="preserve">  SEC Registered </w:t>
    </w:r>
    <w:proofErr w:type="gramStart"/>
    <w:r>
      <w:rPr>
        <w:color w:val="6B6B6B"/>
        <w:sz w:val="13"/>
        <w:szCs w:val="13"/>
      </w:rPr>
      <w:t>RIA  ·</w:t>
    </w:r>
    <w:proofErr w:type="gramEnd"/>
    <w:r>
      <w:rPr>
        <w:color w:val="6B6B6B"/>
        <w:sz w:val="13"/>
        <w:szCs w:val="13"/>
      </w:rPr>
      <w:t xml:space="preserve">  helianthinvestment.com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19A8" w14:textId="77777777" w:rsidR="00A639F5" w:rsidRDefault="00A639F5">
      <w:r>
        <w:separator/>
      </w:r>
    </w:p>
  </w:footnote>
  <w:footnote w:type="continuationSeparator" w:id="0">
    <w:p w14:paraId="515DCE79" w14:textId="77777777" w:rsidR="00A639F5" w:rsidRDefault="00A63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9384" w14:textId="77777777" w:rsidR="00AD6A2F" w:rsidRDefault="00C81C1E">
    <w:pPr>
      <w:pBdr>
        <w:bottom w:val="single" w:sz="5" w:space="3" w:color="C8960C"/>
      </w:pBdr>
      <w:tabs>
        <w:tab w:val="left" w:pos="580"/>
        <w:tab w:val="right" w:pos="9026"/>
      </w:tabs>
    </w:pPr>
    <w:r>
      <w:rPr>
        <w:noProof/>
      </w:rPr>
      <w:drawing>
        <wp:inline distT="0" distB="0" distL="0" distR="0" wp14:anchorId="33D59388" wp14:editId="33D59389">
          <wp:extent cx="304800" cy="304800"/>
          <wp:effectExtent l="0" t="0" r="0" b="0"/>
          <wp:docPr id="1" name="HIM_Logo" descr="Helianth Investment Management Logo" title="H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304800" cy="304800"/>
                  </a:xfrm>
                  <a:prstGeom prst="rect">
                    <a:avLst/>
                  </a:prstGeom>
                </pic:spPr>
              </pic:pic>
            </a:graphicData>
          </a:graphic>
        </wp:inline>
      </w:drawing>
    </w:r>
    <w:r>
      <w:rPr>
        <w:rFonts w:ascii="Poppins" w:eastAsia="Poppins" w:hAnsi="Poppins" w:cs="Poppins"/>
      </w:rPr>
      <w:tab/>
    </w:r>
    <w:r>
      <w:rPr>
        <w:rFonts w:ascii="Poppins" w:eastAsia="Poppins" w:hAnsi="Poppins" w:cs="Poppins"/>
        <w:b/>
        <w:bCs/>
        <w:color w:val="1C1B12"/>
        <w:sz w:val="16"/>
        <w:szCs w:val="16"/>
      </w:rPr>
      <w:t>Helianth Investment Management, LLC</w:t>
    </w:r>
    <w:r>
      <w:rPr>
        <w:rFonts w:ascii="Poppins" w:eastAsia="Poppins" w:hAnsi="Poppins" w:cs="Poppins"/>
      </w:rPr>
      <w:tab/>
    </w:r>
    <w:r>
      <w:rPr>
        <w:rFonts w:ascii="Poppins" w:eastAsia="Poppins" w:hAnsi="Poppins" w:cs="Poppins"/>
        <w:color w:val="6B6B6B"/>
        <w:sz w:val="15"/>
        <w:szCs w:val="15"/>
      </w:rPr>
      <w:t xml:space="preserve">Monthly </w:t>
    </w:r>
    <w:proofErr w:type="gramStart"/>
    <w:r>
      <w:rPr>
        <w:rFonts w:ascii="Poppins" w:eastAsia="Poppins" w:hAnsi="Poppins" w:cs="Poppins"/>
        <w:color w:val="6B6B6B"/>
        <w:sz w:val="15"/>
        <w:szCs w:val="15"/>
      </w:rPr>
      <w:t>Update  |</w:t>
    </w:r>
    <w:proofErr w:type="gramEnd"/>
    <w:r>
      <w:rPr>
        <w:rFonts w:ascii="Poppins" w:eastAsia="Poppins" w:hAnsi="Poppins" w:cs="Poppins"/>
        <w:color w:val="6B6B6B"/>
        <w:sz w:val="15"/>
        <w:szCs w:val="15"/>
      </w:rPr>
      <w:t xml:space="preserve">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2B4C"/>
    <w:multiLevelType w:val="hybridMultilevel"/>
    <w:tmpl w:val="8430C0E8"/>
    <w:lvl w:ilvl="0" w:tplc="0EB69FC4">
      <w:start w:val="1"/>
      <w:numFmt w:val="bullet"/>
      <w:lvlText w:val="●"/>
      <w:lvlJc w:val="left"/>
      <w:pPr>
        <w:ind w:left="720" w:hanging="360"/>
      </w:pPr>
    </w:lvl>
    <w:lvl w:ilvl="1" w:tplc="94E0F4E8">
      <w:start w:val="1"/>
      <w:numFmt w:val="bullet"/>
      <w:lvlText w:val="○"/>
      <w:lvlJc w:val="left"/>
      <w:pPr>
        <w:ind w:left="1440" w:hanging="360"/>
      </w:pPr>
    </w:lvl>
    <w:lvl w:ilvl="2" w:tplc="FC4E0782">
      <w:start w:val="1"/>
      <w:numFmt w:val="bullet"/>
      <w:lvlText w:val="■"/>
      <w:lvlJc w:val="left"/>
      <w:pPr>
        <w:ind w:left="2160" w:hanging="360"/>
      </w:pPr>
    </w:lvl>
    <w:lvl w:ilvl="3" w:tplc="737604AC">
      <w:start w:val="1"/>
      <w:numFmt w:val="bullet"/>
      <w:lvlText w:val="●"/>
      <w:lvlJc w:val="left"/>
      <w:pPr>
        <w:ind w:left="2880" w:hanging="360"/>
      </w:pPr>
    </w:lvl>
    <w:lvl w:ilvl="4" w:tplc="852EAB00">
      <w:start w:val="1"/>
      <w:numFmt w:val="bullet"/>
      <w:lvlText w:val="○"/>
      <w:lvlJc w:val="left"/>
      <w:pPr>
        <w:ind w:left="3600" w:hanging="360"/>
      </w:pPr>
    </w:lvl>
    <w:lvl w:ilvl="5" w:tplc="B284FE72">
      <w:start w:val="1"/>
      <w:numFmt w:val="bullet"/>
      <w:lvlText w:val="■"/>
      <w:lvlJc w:val="left"/>
      <w:pPr>
        <w:ind w:left="4320" w:hanging="360"/>
      </w:pPr>
    </w:lvl>
    <w:lvl w:ilvl="6" w:tplc="E37A3F4A">
      <w:start w:val="1"/>
      <w:numFmt w:val="bullet"/>
      <w:lvlText w:val="●"/>
      <w:lvlJc w:val="left"/>
      <w:pPr>
        <w:ind w:left="5040" w:hanging="360"/>
      </w:pPr>
    </w:lvl>
    <w:lvl w:ilvl="7" w:tplc="4F62C858">
      <w:start w:val="1"/>
      <w:numFmt w:val="bullet"/>
      <w:lvlText w:val="●"/>
      <w:lvlJc w:val="left"/>
      <w:pPr>
        <w:ind w:left="5760" w:hanging="360"/>
      </w:pPr>
    </w:lvl>
    <w:lvl w:ilvl="8" w:tplc="6F2EDBCE">
      <w:start w:val="1"/>
      <w:numFmt w:val="bullet"/>
      <w:lvlText w:val="●"/>
      <w:lvlJc w:val="left"/>
      <w:pPr>
        <w:ind w:left="6480" w:hanging="360"/>
      </w:pPr>
    </w:lvl>
  </w:abstractNum>
  <w:num w:numId="1" w16cid:durableId="7138198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2F"/>
    <w:rsid w:val="00005BE9"/>
    <w:rsid w:val="0000641A"/>
    <w:rsid w:val="00012FF1"/>
    <w:rsid w:val="0003170F"/>
    <w:rsid w:val="00033983"/>
    <w:rsid w:val="00051F2B"/>
    <w:rsid w:val="00055EB2"/>
    <w:rsid w:val="00066025"/>
    <w:rsid w:val="000858F0"/>
    <w:rsid w:val="000937DA"/>
    <w:rsid w:val="00094BF1"/>
    <w:rsid w:val="000A310F"/>
    <w:rsid w:val="000F60E4"/>
    <w:rsid w:val="0013672C"/>
    <w:rsid w:val="001439E2"/>
    <w:rsid w:val="00154C14"/>
    <w:rsid w:val="001B54BD"/>
    <w:rsid w:val="001E2CD8"/>
    <w:rsid w:val="002060A0"/>
    <w:rsid w:val="002617AD"/>
    <w:rsid w:val="00276947"/>
    <w:rsid w:val="0028550A"/>
    <w:rsid w:val="002A50E7"/>
    <w:rsid w:val="002A64F6"/>
    <w:rsid w:val="002C32A9"/>
    <w:rsid w:val="002C7A36"/>
    <w:rsid w:val="00304DD4"/>
    <w:rsid w:val="00313B30"/>
    <w:rsid w:val="003163D4"/>
    <w:rsid w:val="0032239B"/>
    <w:rsid w:val="00325865"/>
    <w:rsid w:val="00367D09"/>
    <w:rsid w:val="00397FC9"/>
    <w:rsid w:val="003A79F3"/>
    <w:rsid w:val="00417837"/>
    <w:rsid w:val="0042408D"/>
    <w:rsid w:val="004469F2"/>
    <w:rsid w:val="0048768A"/>
    <w:rsid w:val="004C793F"/>
    <w:rsid w:val="00505D77"/>
    <w:rsid w:val="00534159"/>
    <w:rsid w:val="00540ABD"/>
    <w:rsid w:val="005578E2"/>
    <w:rsid w:val="00560F3B"/>
    <w:rsid w:val="00583419"/>
    <w:rsid w:val="005A6E83"/>
    <w:rsid w:val="005D594D"/>
    <w:rsid w:val="00612F9E"/>
    <w:rsid w:val="00613697"/>
    <w:rsid w:val="00641858"/>
    <w:rsid w:val="00645E93"/>
    <w:rsid w:val="00654357"/>
    <w:rsid w:val="00657A5D"/>
    <w:rsid w:val="00685ECF"/>
    <w:rsid w:val="006E553C"/>
    <w:rsid w:val="00704649"/>
    <w:rsid w:val="00724EC2"/>
    <w:rsid w:val="00740F09"/>
    <w:rsid w:val="0074377E"/>
    <w:rsid w:val="007718C2"/>
    <w:rsid w:val="007C31DC"/>
    <w:rsid w:val="007E029B"/>
    <w:rsid w:val="007F7775"/>
    <w:rsid w:val="00826D53"/>
    <w:rsid w:val="00892C47"/>
    <w:rsid w:val="008B0ED9"/>
    <w:rsid w:val="008D63C3"/>
    <w:rsid w:val="008F4DB2"/>
    <w:rsid w:val="00905D75"/>
    <w:rsid w:val="0091439E"/>
    <w:rsid w:val="0092325E"/>
    <w:rsid w:val="00957071"/>
    <w:rsid w:val="00990933"/>
    <w:rsid w:val="00990AA5"/>
    <w:rsid w:val="009950E7"/>
    <w:rsid w:val="009C66A4"/>
    <w:rsid w:val="00A00C82"/>
    <w:rsid w:val="00A16FDC"/>
    <w:rsid w:val="00A5243A"/>
    <w:rsid w:val="00A639F5"/>
    <w:rsid w:val="00A76643"/>
    <w:rsid w:val="00A953AF"/>
    <w:rsid w:val="00AD2699"/>
    <w:rsid w:val="00AD6A2F"/>
    <w:rsid w:val="00AF3A8E"/>
    <w:rsid w:val="00B00B3E"/>
    <w:rsid w:val="00B06669"/>
    <w:rsid w:val="00B22EEC"/>
    <w:rsid w:val="00B3183E"/>
    <w:rsid w:val="00B460BA"/>
    <w:rsid w:val="00B46422"/>
    <w:rsid w:val="00B620D1"/>
    <w:rsid w:val="00B72196"/>
    <w:rsid w:val="00B7796E"/>
    <w:rsid w:val="00BA7685"/>
    <w:rsid w:val="00C07110"/>
    <w:rsid w:val="00C4788F"/>
    <w:rsid w:val="00C6227B"/>
    <w:rsid w:val="00C657DD"/>
    <w:rsid w:val="00C67D4D"/>
    <w:rsid w:val="00C726CF"/>
    <w:rsid w:val="00C81C1E"/>
    <w:rsid w:val="00CA4C15"/>
    <w:rsid w:val="00CA7112"/>
    <w:rsid w:val="00CC19AC"/>
    <w:rsid w:val="00CE286D"/>
    <w:rsid w:val="00D25D99"/>
    <w:rsid w:val="00D51E95"/>
    <w:rsid w:val="00D64A45"/>
    <w:rsid w:val="00D71D28"/>
    <w:rsid w:val="00D816CF"/>
    <w:rsid w:val="00DC75A9"/>
    <w:rsid w:val="00E36659"/>
    <w:rsid w:val="00E71D0E"/>
    <w:rsid w:val="00EE14FD"/>
    <w:rsid w:val="00EF0A5E"/>
    <w:rsid w:val="00F04079"/>
    <w:rsid w:val="00F23582"/>
    <w:rsid w:val="00F44A4C"/>
    <w:rsid w:val="00F50FE9"/>
    <w:rsid w:val="00F75706"/>
    <w:rsid w:val="00FD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9339"/>
  <w15:docId w15:val="{9B1E9101-B513-4515-8CCA-4705A881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652</Words>
  <Characters>3560</Characters>
  <Application>Microsoft Office Word</Application>
  <DocSecurity>0</DocSecurity>
  <Lines>81</Lines>
  <Paragraphs>40</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Bob Traenkle</cp:lastModifiedBy>
  <cp:revision>23</cp:revision>
  <cp:lastPrinted>2026-04-01T15:24:00Z</cp:lastPrinted>
  <dcterms:created xsi:type="dcterms:W3CDTF">2026-03-31T16:00:00Z</dcterms:created>
  <dcterms:modified xsi:type="dcterms:W3CDTF">2026-04-01T15:28:00Z</dcterms:modified>
</cp:coreProperties>
</file>