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r>
        <w:t xml:space="preserve"/>
      </w:r>
    </w:p>
    <w:p>
      <w:pPr>
        <w:spacing w:after="60" w:before="0"/>
      </w:pPr>
      <w:r>
        <w:rPr>
          <w:rFonts w:ascii="Calibri" w:cs="Calibri" w:eastAsia="Calibri" w:hAnsi="Calibri"/>
          <w:b/>
          <w:bCs/>
          <w:color w:val="C8960C"/>
          <w:spacing w:val="80"/>
          <w:sz w:val="16"/>
          <w:szCs w:val="16"/>
        </w:rPr>
        <w:t xml:space="preserve">MONTHLY INVESTMENT COMMENTARY</w:t>
      </w:r>
    </w:p>
    <w:p>
      <w:pPr>
        <w:spacing w:after="200" w:before="0"/>
      </w:pPr>
      <w:r>
        <w:rPr>
          <w:rFonts w:ascii="Georgia" w:cs="Georgia" w:eastAsia="Georgia" w:hAnsi="Georgia"/>
          <w:b/>
          <w:bCs/>
          <w:color w:val="0D0C08"/>
          <w:sz w:val="52"/>
          <w:szCs w:val="52"/>
        </w:rPr>
        <w:t xml:space="preserve">Volatility Cuts Both Ways</w:t>
      </w:r>
    </w:p>
    <w:p>
      <w:pPr>
        <w:pBdr>
          <w:bottom w:val="single" w:color="C8960C" w:sz="10" w:space="1"/>
        </w:pBdr>
        <w:spacing w:after="0" w:before="0"/>
      </w:pPr>
      <w:r>
        <w:t xml:space="preserve"/>
      </w:r>
    </w:p>
    <w:p>
      <w:pPr>
        <w:spacing w:after="0" w:before="200"/>
      </w:pPr>
      <w:r>
        <w:t xml:space="preserve"/>
      </w:r>
    </w:p>
    <w:p>
      <w:pPr>
        <w:spacing w:after="60" w:before="280"/>
      </w:pPr>
      <w:r>
        <w:rPr>
          <w:rFonts w:ascii="Calibri" w:cs="Calibri" w:eastAsia="Calibri" w:hAnsi="Calibri"/>
          <w:b/>
          <w:bCs/>
          <w:color w:val="C8960C"/>
          <w:spacing w:val="80"/>
          <w:sz w:val="16"/>
          <w:szCs w:val="16"/>
        </w:rPr>
        <w:t xml:space="preserve">FROM THE PORTFOLIO MANAGER</w:t>
      </w:r>
    </w:p>
    <w:p>
      <w:pPr>
        <w:spacing w:after="160" w:before="60"/>
      </w:pPr>
      <w:r>
        <w:rPr>
          <w:rFonts w:ascii="Georgia" w:cs="Georgia" w:eastAsia="Georgia" w:hAnsi="Georgia"/>
          <w:b/>
          <w:bCs/>
          <w:color w:val="0D0C08"/>
          <w:sz w:val="36"/>
          <w:szCs w:val="36"/>
        </w:rPr>
        <w:t xml:space="preserve">Staying Engaged Through the Turn</w:t>
      </w:r>
    </w:p>
    <w:p>
      <w:pPr>
        <w:spacing w:after="160" w:before="0"/>
      </w:pPr>
      <w:r>
        <w:rPr>
          <w:rFonts w:ascii="Calibri" w:cs="Calibri" w:eastAsia="Calibri" w:hAnsi="Calibri"/>
          <w:color w:val="1C1B12"/>
          <w:sz w:val="24"/>
          <w:szCs w:val="24"/>
        </w:rPr>
        <w:t xml:space="preserve">April marked a meaningful recovery for the portfolio. The preceding months brought their share of challenges. Months like April are precisely why we remain invested and committed to our strategy. The same volatility that weighed on the portfolio through the winter has been its ally this spring. Volatility cuts both ways. Ultimately, investors are compensated for enduring it — though acknowledging that is considerably easier than living through it.</w:t>
      </w:r>
    </w:p>
    <w:p>
      <w:pPr>
        <w:spacing w:after="160" w:before="0"/>
      </w:pPr>
      <w:r>
        <w:rPr>
          <w:rFonts w:ascii="Calibri" w:cs="Calibri" w:eastAsia="Calibri" w:hAnsi="Calibri"/>
          <w:color w:val="1C1B12"/>
          <w:sz w:val="24"/>
          <w:szCs w:val="24"/>
        </w:rPr>
        <w:t xml:space="preserve">The software industry's ongoing assimilation of artificial intelligence continues to present challenges, even as the broader AI infrastructure build-out advances at a rapid pace. Geopolitical tensions remain elevated across multiple regions. The rate of change across industries and economies continues to accelerate. As I noted in last month's update, the most important work — and the hardest — remains staying engaged through uncertainty.</w:t>
      </w:r>
    </w:p>
    <w:p>
      <w:pPr>
        <w:spacing w:after="0" w:before="160"/>
      </w:pPr>
      <w:r>
        <w:t xml:space="preserve"/>
      </w:r>
    </w:p>
    <w:tbl>
      <w:tblPr>
        <w:tblW w:type="dxa" w:w="9360"/>
        <w:tblBorders>
          <w:top w:val="none" w:sz="0"/>
          <w:left w:val="none" w:sz="0"/>
          <w:bottom w:val="none" w:sz="0"/>
          <w:right w:val="none" w:sz="0"/>
          <w:insideH w:val="single" w:color="auto" w:sz="4"/>
          <w:insideV w:val="single" w:color="auto" w:sz="4"/>
        </w:tblBorders>
      </w:tblPr>
      <w:tblGrid>
        <w:gridCol w:w="120"/>
        <w:gridCol w:w="9240"/>
      </w:tblGrid>
      <w:tr>
        <w:tc>
          <w:tcPr>
            <w:tcW w:type="dxa" w:w="120"/>
            <w:tcBorders>
              <w:top w:val="none" w:sz="0"/>
              <w:left w:val="none" w:sz="0"/>
              <w:bottom w:val="none" w:sz="0"/>
              <w:right w:val="none" w:sz="0"/>
            </w:tcBorders>
            <w:shd w:fill="C8960C" w:val="clear"/>
            <w:tcMar>
              <w:top w:type="dxa" w:w="0"/>
              <w:left w:type="dxa" w:w="0"/>
              <w:bottom w:type="dxa" w:w="0"/>
              <w:right w:type="dxa" w:w="0"/>
            </w:tcMar>
          </w:tcPr>
          <w:p>
            <w:r>
              <w:t xml:space="preserve"/>
            </w:r>
          </w:p>
        </w:tc>
        <w:tc>
          <w:tcPr>
            <w:tcW w:type="dxa" w:w="9240"/>
            <w:tcBorders>
              <w:top w:val="none" w:sz="0"/>
              <w:left w:val="none" w:sz="0"/>
              <w:bottom w:val="none" w:sz="0"/>
              <w:right w:val="none" w:sz="0"/>
            </w:tcBorders>
            <w:shd w:fill="FEF6E0" w:val="clear"/>
            <w:tcMar>
              <w:top w:type="dxa" w:w="160"/>
              <w:left w:type="dxa" w:w="200"/>
              <w:bottom w:type="dxa" w:w="160"/>
              <w:right w:type="dxa" w:w="200"/>
            </w:tcMar>
          </w:tcPr>
          <w:p>
            <w:r>
              <w:rPr>
                <w:rFonts w:ascii="Georgia" w:cs="Georgia" w:eastAsia="Georgia" w:hAnsi="Georgia"/>
                <w:i/>
                <w:iCs/>
                <w:color w:val="8B6800"/>
                <w:sz w:val="28"/>
                <w:szCs w:val="28"/>
              </w:rPr>
              <w:t xml:space="preserve">"The same volatility that made for a difficult winter has been the portfolio's ally this spring. Volatility cuts both ways. Investors are compensated for enduring it."</w:t>
            </w:r>
          </w:p>
        </w:tc>
      </w:tr>
    </w:tbl>
    <w:p>
      <w:pPr>
        <w:spacing w:after="0" w:before="160"/>
      </w:pPr>
      <w:r>
        <w:t xml:space="preserve"/>
      </w:r>
    </w:p>
    <w:p>
      <w:pPr>
        <w:spacing w:after="60" w:before="280"/>
      </w:pPr>
      <w:r>
        <w:rPr>
          <w:rFonts w:ascii="Calibri" w:cs="Calibri" w:eastAsia="Calibri" w:hAnsi="Calibri"/>
          <w:b/>
          <w:bCs/>
          <w:color w:val="C8960C"/>
          <w:spacing w:val="80"/>
          <w:sz w:val="16"/>
          <w:szCs w:val="16"/>
        </w:rPr>
        <w:t xml:space="preserve">THE INVESTMENT CASE</w:t>
      </w:r>
    </w:p>
    <w:p>
      <w:pPr>
        <w:spacing w:after="160" w:before="60"/>
      </w:pPr>
      <w:r>
        <w:rPr>
          <w:rFonts w:ascii="Georgia" w:cs="Georgia" w:eastAsia="Georgia" w:hAnsi="Georgia"/>
          <w:b/>
          <w:bCs/>
          <w:color w:val="0D0C08"/>
          <w:sz w:val="36"/>
          <w:szCs w:val="36"/>
        </w:rPr>
        <w:t xml:space="preserve">On AI Valuations: Scarcity Matters</w:t>
      </w:r>
    </w:p>
    <w:p>
      <w:pPr>
        <w:spacing w:after="160" w:before="0"/>
      </w:pPr>
      <w:r>
        <w:rPr>
          <w:rFonts w:ascii="Calibri" w:cs="Calibri" w:eastAsia="Calibri" w:hAnsi="Calibri"/>
          <w:color w:val="1C1B12"/>
          <w:sz w:val="24"/>
          <w:szCs w:val="24"/>
        </w:rPr>
        <w:t xml:space="preserve">Looking ahead to the summer, the first large-scale IPOs of the AI era are entering the pipeline. Much has been written about an "AI Bubble." Most of that commentary misses a critical point: there are still very few pure-play AI names available in the public markets. Current valuations reflect both the scarcity of investable AI positions and the scale of demand for them. This is a fundamental component of any sound valuation framework.</w:t>
      </w:r>
    </w:p>
    <w:p>
      <w:pPr>
        <w:spacing w:after="160" w:before="0"/>
      </w:pPr>
      <w:r>
        <w:rPr>
          <w:rFonts w:ascii="Calibri" w:cs="Calibri" w:eastAsia="Calibri" w:hAnsi="Calibri"/>
          <w:color w:val="1C1B12"/>
          <w:sz w:val="24"/>
          <w:szCs w:val="24"/>
        </w:rPr>
        <w:t xml:space="preserve">Every valuation has both a mathematical dimension and a scarcity dimension. Distinguishing between the two — and weighting each appropriately — is where active judgment matters most. Opportunities to invest at low valuations on both measures simultaneously are rare. We apply disciplined judgment in the areas where the math alone does not provide a clear answer.</w:t>
      </w:r>
    </w:p>
    <w:p>
      <w:pPr>
        <w:spacing w:after="160" w:before="0"/>
      </w:pPr>
      <w:r>
        <w:rPr>
          <w:rFonts w:ascii="Calibri" w:cs="Calibri" w:eastAsia="Calibri" w:hAnsi="Calibri"/>
          <w:color w:val="1C1B12"/>
          <w:sz w:val="24"/>
          <w:szCs w:val="24"/>
        </w:rPr>
        <w:t xml:space="preserve">The market is always giving feedback, but it is not always telling the truth. The essential part is having a well-thought-out methodology and applying it strategically and consistently over significant time periods. This is the challenge in investment management. It is very gratifying when it works.</w:t>
      </w:r>
    </w:p>
    <w:p>
      <w:pPr>
        <w:spacing w:after="0" w:before="200"/>
      </w:pPr>
      <w:r>
        <w:t xml:space="preserve"/>
      </w:r>
    </w:p>
    <w:p>
      <w:pPr>
        <w:pBdr>
          <w:bottom w:val="single" w:color="C8960C" w:sz="10" w:space="1"/>
        </w:pBdr>
        <w:spacing w:after="0" w:before="0"/>
      </w:pPr>
      <w:r>
        <w:t xml:space="preserve"/>
      </w:r>
    </w:p>
    <w:p>
      <w:pPr>
        <w:spacing w:after="0" w:before="80"/>
      </w:pPr>
      <w:r>
        <w:t xml:space="preserve"/>
      </w:r>
    </w:p>
    <w:p>
      <w:pPr>
        <w:spacing w:after="60" w:before="0"/>
      </w:pPr>
      <w:r>
        <w:rPr>
          <w:rFonts w:ascii="Georgia" w:cs="Georgia" w:eastAsia="Georgia" w:hAnsi="Georgia"/>
          <w:b/>
          <w:bCs/>
          <w:color w:val="0D0C08"/>
          <w:sz w:val="28"/>
          <w:szCs w:val="28"/>
        </w:rPr>
        <w:t xml:space="preserve">Robert Traenkle</w:t>
      </w:r>
    </w:p>
    <w:p>
      <w:pPr>
        <w:spacing w:after="40" w:before="0"/>
      </w:pPr>
      <w:r>
        <w:rPr>
          <w:rFonts w:ascii="Calibri" w:cs="Calibri" w:eastAsia="Calibri" w:hAnsi="Calibri"/>
          <w:color w:val="5A5A5A"/>
          <w:sz w:val="20"/>
          <w:szCs w:val="20"/>
        </w:rPr>
        <w:t xml:space="preserve">Founder &amp; Portfolio Manager · Helianth Investment Management, LLC</w:t>
      </w:r>
    </w:p>
    <w:p>
      <w:pPr>
        <w:spacing w:after="0" w:before="0"/>
      </w:pPr>
      <w:r>
        <w:rPr>
          <w:rFonts w:ascii="Calibri" w:cs="Calibri" w:eastAsia="Calibri" w:hAnsi="Calibri"/>
          <w:color w:val="C8960C"/>
          <w:sz w:val="20"/>
          <w:szCs w:val="20"/>
          <w:u w:val="single" w:color="C8960C"/>
        </w:rPr>
        <w:t xml:space="preserve">bob@helianthinvestment.com</w:t>
      </w:r>
    </w:p>
    <w:sectPr>
      <w:headerReference w:type="default" r:id="rId7"/>
      <w:footerReference w:type="default" r:id="rId8"/>
      <w:pgSz w:w="12240" w:h="15840" w:orient="portrait"/>
      <w:pgMar w:top="1440" w:right="1260" w:bottom="18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C8960C" w:sz="10" w:space="1"/>
      </w:pBdr>
      <w:spacing w:after="0" w:before="0"/>
    </w:pPr>
    <w:r>
      <w:t xml:space="preserve"/>
    </w:r>
  </w:p>
  <w:p>
    <w:pPr>
      <w:spacing w:after="0" w:before="60"/>
    </w:pPr>
    <w:r>
      <w:t xml:space="preserve"/>
    </w:r>
  </w:p>
  <w:p>
    <w:r>
      <w:rPr>
        <w:rFonts w:ascii="Calibri" w:cs="Calibri" w:eastAsia="Calibri" w:hAnsi="Calibri"/>
        <w:color w:val="5A5A5A"/>
        <w:sz w:val="14"/>
        <w:szCs w:val="14"/>
      </w:rPr>
      <w:t xml:space="preserve">Helianth Investment Management, LLC  ·  Active Independent Investment Advisor  ·  bob@helianthinvestment.com  ·  </w:t>
    </w:r>
    <w:r>
      <w:rPr>
        <w:rFonts w:ascii="Calibri" w:cs="Calibri" w:eastAsia="Calibri" w:hAnsi="Calibri"/>
        <w:color w:val="5A5A5A"/>
        <w:sz w:val="14"/>
        <w:szCs w:val="14"/>
      </w:rPr>
      <w:fldChar w:fldCharType="begin"/>
      <w:instrText xml:space="preserve">PAGE</w:instrText>
      <w:fldChar w:fldCharType="separate"/>
      <w:fldChar w:fldCharType="end"/>
    </w:r>
  </w:p>
  <w:p>
    <w:pPr>
      <w:spacing w:after="0" w:before="80"/>
    </w:pPr>
    <w:r>
      <w:t xml:space="preserve"/>
    </w:r>
  </w:p>
  <w:p>
    <w:pPr>
      <w:spacing w:after="0" w:before="0"/>
    </w:pPr>
    <w:r>
      <w:rPr>
        <w:rFonts w:ascii="Calibri" w:cs="Calibri" w:eastAsia="Calibri" w:hAnsi="Calibri"/>
        <w:i/>
        <w:iCs/>
        <w:color w:val="5A5A5A"/>
        <w:sz w:val="14"/>
        <w:szCs w:val="14"/>
      </w:rPr>
      <w:t xml:space="preserve">Investing in U.S. stocks and bonds involves material risk, including the potential loss of principal. Past performance does not guarantee future results. Refer to our Form ADV Part 2A for a comprehensive description of all investment risks and fees. This content is for informational purposes only and does not constitute an offer to buy or sell securities.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sz="0"/>
        <w:left w:val="none" w:sz="0"/>
        <w:bottom w:val="none" w:sz="0"/>
        <w:right w:val="none" w:sz="0"/>
        <w:insideH w:val="single" w:color="auto" w:sz="4"/>
        <w:insideV w:val="single" w:color="auto" w:sz="4"/>
      </w:tblBorders>
    </w:tblPr>
    <w:tblGrid>
      <w:gridCol w:w="720"/>
      <w:gridCol w:w="6800"/>
      <w:gridCol w:w="1840"/>
    </w:tblGrid>
    <w:tr>
      <w:tc>
        <w:tcPr>
          <w:tcW w:type="dxa" w:w="720"/>
          <w:tcBorders>
            <w:top w:val="none" w:sz="0"/>
            <w:left w:val="none" w:sz="0"/>
            <w:bottom w:val="none" w:sz="0"/>
            <w:right w:val="none" w:sz="0"/>
          </w:tcBorders>
          <w:tcMar>
            <w:top w:type="dxa" w:w="0"/>
            <w:left w:type="dxa" w:w="0"/>
            <w:bottom w:type="dxa" w:w="0"/>
            <w:right w:type="dxa" w:w="120"/>
          </w:tcMar>
        </w:tcPr>
        <w:p>
          <w:r>
            <w:drawing>
              <wp:inline distT="0" distB="0" distL="0" distR="0">
                <wp:extent cx="400050" cy="400050"/>
                <wp:effectExtent t="0" r="0" b="0" l="0"/>
                <wp:docPr id="1" name="Logo" descr="Helianth Investment Management Logo" title="H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00050" cy="400050"/>
                        </a:xfrm>
                        <a:prstGeom prst="rect">
                          <a:avLst/>
                        </a:prstGeom>
                      </pic:spPr>
                    </pic:pic>
                  </a:graphicData>
                </a:graphic>
              </wp:inline>
            </w:drawing>
          </w:r>
        </w:p>
      </w:tc>
      <w:tc>
        <w:tcPr>
          <w:tcW w:type="dxa" w:w="6800"/>
          <w:tcBorders>
            <w:top w:val="none" w:sz="0"/>
            <w:left w:val="none" w:sz="0"/>
            <w:bottom w:val="none" w:sz="0"/>
            <w:right w:val="none" w:sz="0"/>
          </w:tcBorders>
          <w:tcMar>
            <w:top w:type="dxa" w:w="0"/>
            <w:left w:type="dxa" w:w="120"/>
            <w:bottom w:type="dxa" w:w="0"/>
            <w:right w:type="dxa" w:w="0"/>
          </w:tcMar>
        </w:tcPr>
        <w:p>
          <w:pPr>
            <w:spacing w:after="20" w:before="0"/>
          </w:pPr>
          <w:r>
            <w:rPr>
              <w:rFonts w:ascii="Georgia" w:cs="Georgia" w:eastAsia="Georgia" w:hAnsi="Georgia"/>
              <w:b/>
              <w:bCs/>
              <w:color w:val="0D0C08"/>
              <w:sz w:val="22"/>
              <w:szCs w:val="22"/>
            </w:rPr>
            <w:t xml:space="preserve">Helianth Investment Management</w:t>
          </w:r>
        </w:p>
        <w:p>
          <w:pPr>
            <w:spacing w:after="0" w:before="0"/>
          </w:pPr>
          <w:r>
            <w:rPr>
              <w:rFonts w:ascii="Calibri" w:cs="Calibri" w:eastAsia="Calibri" w:hAnsi="Calibri"/>
              <w:color w:val="5A5A5A"/>
              <w:spacing w:val="30"/>
              <w:sz w:val="16"/>
              <w:szCs w:val="16"/>
            </w:rPr>
            <w:t xml:space="preserve">Monthly Investment Update</w:t>
          </w:r>
        </w:p>
      </w:tc>
      <w:tc>
        <w:tcPr>
          <w:tcW w:type="dxa" w:w="1840"/>
          <w:tcBorders>
            <w:top w:val="none" w:sz="0"/>
            <w:left w:val="none" w:sz="0"/>
            <w:bottom w:val="none" w:sz="0"/>
            <w:right w:val="none" w:sz="0"/>
          </w:tcBorders>
          <w:tcMar>
            <w:top w:type="dxa" w:w="0"/>
            <w:left w:type="dxa" w:w="0"/>
            <w:bottom w:type="dxa" w:w="0"/>
            <w:right w:type="dxa" w:w="0"/>
          </w:tcMar>
        </w:tcPr>
        <w:p>
          <w:pPr>
            <w:jc w:val="right"/>
          </w:pPr>
          <w:r>
            <w:rPr>
              <w:rFonts w:ascii="Calibri" w:cs="Calibri" w:eastAsia="Calibri" w:hAnsi="Calibri"/>
              <w:b/>
              <w:bCs/>
              <w:color w:val="C8960C"/>
              <w:sz w:val="18"/>
              <w:szCs w:val="18"/>
            </w:rPr>
            <w:t xml:space="preserve">April 2026</w:t>
          </w:r>
        </w:p>
      </w:tc>
    </w:tr>
  </w:tbl>
  <w:p>
    <w:pPr>
      <w:pBdr>
        <w:bottom w:val="single" w:color="C8960C" w:sz="10" w:space="1"/>
      </w:pBd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30d886c56809c14970556c502b0c9377d510bb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2026-05-04T14:38:52.084Z</dcterms:created>
  <dcterms:modified xsi:type="dcterms:W3CDTF">2026-05-04T14:38:52.084Z</dcterms:modified>
</cp:coreProperties>
</file>

<file path=docProps/custom.xml><?xml version="1.0" encoding="utf-8"?>
<Properties xmlns="http://schemas.openxmlformats.org/officeDocument/2006/custom-properties" xmlns:vt="http://schemas.openxmlformats.org/officeDocument/2006/docPropsVTypes"/>
</file>